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77777777" w:rsidR="00362DF3" w:rsidRPr="00362DF3" w:rsidRDefault="00362DF3"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sidRPr="00362DF3">
        <w:rPr>
          <w:rFonts w:ascii="Arial" w:hAnsi="Arial" w:cs="Arial"/>
          <w:b/>
          <w:sz w:val="48"/>
          <w:szCs w:val="48"/>
        </w:rPr>
        <w:t>ECB CLUBMARK MODEL CLUB CONSTITUTION</w:t>
      </w:r>
      <w:r w:rsidRPr="00362DF3">
        <w:rPr>
          <w:rStyle w:val="FootnoteReference"/>
          <w:rFonts w:ascii="Arial" w:hAnsi="Arial" w:cs="Arial"/>
          <w:b/>
          <w:sz w:val="48"/>
          <w:szCs w:val="48"/>
        </w:rPr>
        <w:footnoteReference w:id="2"/>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4071E678"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Pr="00FD6510">
        <w:rPr>
          <w:rFonts w:ascii="Arial" w:hAnsi="Arial" w:cs="Arial"/>
          <w:b/>
          <w:sz w:val="24"/>
          <w:szCs w:val="24"/>
        </w:rPr>
        <w:t>[</w:t>
      </w:r>
      <w:r w:rsidRPr="00FD6510">
        <w:rPr>
          <w:rFonts w:ascii="Arial" w:hAnsi="Arial" w:cs="Arial"/>
          <w:b/>
          <w:i/>
          <w:sz w:val="24"/>
          <w:szCs w:val="24"/>
        </w:rPr>
        <w:t>insert name of club</w:t>
      </w:r>
      <w:r w:rsidRPr="00FD6510">
        <w:rPr>
          <w:rFonts w:ascii="Arial" w:hAnsi="Arial" w:cs="Arial"/>
          <w:sz w:val="24"/>
          <w:szCs w:val="24"/>
        </w:rPr>
        <w:t>].</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21ECD9B9"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w:t>
      </w:r>
      <w:r w:rsidR="000A74AD">
        <w:rPr>
          <w:rStyle w:val="FootnoteReference"/>
          <w:rFonts w:ascii="Arial" w:hAnsi="Arial" w:cs="Arial"/>
          <w:sz w:val="24"/>
          <w:szCs w:val="24"/>
        </w:rPr>
        <w:footnoteReference w:id="3"/>
      </w:r>
      <w:r w:rsidRPr="00FD6510">
        <w:rPr>
          <w:rFonts w:ascii="Arial" w:hAnsi="Arial" w:cs="Arial"/>
          <w:sz w:val="24"/>
          <w:szCs w:val="24"/>
        </w:rPr>
        <w:t xml:space="preserve"> sport of cricket</w:t>
      </w:r>
      <w:r>
        <w:rPr>
          <w:rFonts w:ascii="Arial" w:hAnsi="Arial" w:cs="Arial"/>
          <w:sz w:val="24"/>
          <w:szCs w:val="24"/>
        </w:rPr>
        <w:t>.</w:t>
      </w:r>
      <w:r w:rsidR="000A74AD">
        <w:rPr>
          <w:rStyle w:val="FootnoteReference"/>
          <w:rFonts w:ascii="Arial" w:hAnsi="Arial" w:cs="Arial"/>
          <w:sz w:val="24"/>
          <w:szCs w:val="24"/>
        </w:rPr>
        <w:footnoteReference w:id="4"/>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w:t>
      </w:r>
      <w:smartTag w:uri="urn:schemas-microsoft-com:office:smarttags" w:element="country-region">
        <w:smartTag w:uri="urn:schemas-microsoft-com:office:smarttags" w:element="place">
          <w:r w:rsidRPr="00FD6510">
            <w:rPr>
              <w:rFonts w:ascii="Arial" w:hAnsi="Arial" w:cs="Arial"/>
              <w:sz w:val="24"/>
              <w:szCs w:val="24"/>
            </w:rPr>
            <w:t>England</w:t>
          </w:r>
        </w:smartTag>
      </w:smartTag>
      <w:r w:rsidRPr="00FD6510">
        <w:rPr>
          <w:rFonts w:ascii="Arial" w:hAnsi="Arial" w:cs="Arial"/>
          <w:sz w:val="24"/>
          <w:szCs w:val="24"/>
        </w:rPr>
        <w:t xml:space="preserve"> and Wales Cricket Board through the [</w:t>
      </w:r>
      <w:r w:rsidRPr="00FD6510">
        <w:rPr>
          <w:rFonts w:ascii="Arial" w:hAnsi="Arial" w:cs="Arial"/>
          <w:b/>
          <w:i/>
          <w:sz w:val="24"/>
          <w:szCs w:val="24"/>
        </w:rPr>
        <w:t>name of County</w:t>
      </w:r>
      <w:r w:rsidRPr="00FD6510">
        <w:rPr>
          <w:rFonts w:ascii="Arial" w:hAnsi="Arial" w:cs="Arial"/>
          <w:sz w:val="24"/>
          <w:szCs w:val="24"/>
        </w:rPr>
        <w:t>]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6EC21246"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must also have a separate club safeguarding Policy Statement, as required by the ECB.</w:t>
      </w:r>
      <w:r>
        <w:rPr>
          <w:rStyle w:val="FootnoteReference"/>
          <w:rFonts w:ascii="Arial" w:hAnsi="Arial" w:cs="Arial"/>
          <w:sz w:val="24"/>
          <w:szCs w:val="24"/>
        </w:rPr>
        <w:footnoteReference w:id="5"/>
      </w:r>
    </w:p>
    <w:p w14:paraId="311B9159" w14:textId="701D8235"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r w:rsidR="00D46EBA">
        <w:rPr>
          <w:rStyle w:val="FootnoteReference"/>
          <w:rFonts w:ascii="Arial" w:hAnsi="Arial" w:cs="Arial"/>
          <w:sz w:val="24"/>
          <w:szCs w:val="24"/>
        </w:rPr>
        <w:footnoteReference w:id="6"/>
      </w:r>
    </w:p>
    <w:p w14:paraId="09A3DC93" w14:textId="58886C36"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r w:rsidR="002229A5">
        <w:rPr>
          <w:rStyle w:val="FootnoteReference"/>
          <w:rFonts w:ascii="Arial" w:hAnsi="Arial" w:cs="Arial"/>
          <w:b/>
          <w:sz w:val="24"/>
          <w:szCs w:val="24"/>
        </w:rPr>
        <w:footnoteReference w:id="7"/>
      </w:r>
    </w:p>
    <w:p w14:paraId="6E51B3B0"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4C0C6BE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provide coaching, training, medical treatment, and related social and other facilities;</w:t>
      </w:r>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6309B08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14:paraId="05C5560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buy, lease or licence property and sell, let or otherwise dispose of the same [provided that no disposal of [</w:t>
      </w:r>
      <w:r w:rsidRPr="00FD6510">
        <w:rPr>
          <w:rFonts w:ascii="Arial" w:hAnsi="Arial" w:cs="Arial"/>
          <w:b/>
          <w:i/>
          <w:sz w:val="24"/>
          <w:szCs w:val="24"/>
        </w:rPr>
        <w:t>insert name of club site</w:t>
      </w:r>
      <w:r w:rsidRPr="00FD6510">
        <w:rPr>
          <w:rFonts w:ascii="Arial" w:hAnsi="Arial" w:cs="Arial"/>
          <w:sz w:val="24"/>
          <w:szCs w:val="24"/>
        </w:rPr>
        <w:t>] can be made without the prior written approval of the members voting at a general meeting]</w:t>
      </w:r>
      <w:r w:rsidRPr="00FD6510">
        <w:rPr>
          <w:rStyle w:val="FootnoteReference"/>
          <w:rFonts w:ascii="Arial" w:hAnsi="Arial" w:cs="Arial"/>
          <w:sz w:val="24"/>
          <w:szCs w:val="24"/>
        </w:rPr>
        <w:footnoteReference w:id="8"/>
      </w:r>
      <w:r w:rsidRPr="00FD6510">
        <w:rPr>
          <w:rFonts w:ascii="Arial" w:hAnsi="Arial" w:cs="Arial"/>
          <w:sz w:val="24"/>
          <w:szCs w:val="24"/>
        </w:rPr>
        <w:t>;</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make grants and loans and give guarantees and provide other benefits;</w:t>
      </w:r>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co-operate with any organisation, club, sporting body, government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4547CB4E"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of the Club shall be open to anyone interested in the sport on application regardless of sex, age, disability, ethnicity, nationality, sexual orientation, religion or other beliefs</w:t>
      </w:r>
      <w:r>
        <w:rPr>
          <w:rFonts w:ascii="Arial" w:hAnsi="Arial" w:cs="Arial"/>
          <w:sz w:val="24"/>
          <w:szCs w:val="24"/>
        </w:rPr>
        <w:t>, except as a necessary consequence of the requirements of cricket</w:t>
      </w:r>
      <w:r w:rsidRPr="00FD6510">
        <w:rPr>
          <w:rFonts w:ascii="Arial" w:hAnsi="Arial" w:cs="Arial"/>
          <w:sz w:val="24"/>
          <w:szCs w:val="24"/>
        </w:rPr>
        <w:t>.</w:t>
      </w:r>
      <w:r w:rsidRPr="00FD6510">
        <w:rPr>
          <w:rStyle w:val="FootnoteReference"/>
          <w:rFonts w:ascii="Arial" w:hAnsi="Arial" w:cs="Arial"/>
          <w:sz w:val="24"/>
          <w:szCs w:val="24"/>
        </w:rPr>
        <w:footnoteReference w:id="9"/>
      </w:r>
    </w:p>
    <w:p w14:paraId="0A980220" w14:textId="77777777"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r w:rsidRPr="00FD6510">
        <w:rPr>
          <w:rStyle w:val="FootnoteReference"/>
          <w:rFonts w:ascii="Arial" w:hAnsi="Arial" w:cs="Arial"/>
          <w:sz w:val="24"/>
          <w:szCs w:val="24"/>
        </w:rPr>
        <w:footnoteReference w:id="10"/>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will have the following classes of membership:</w:t>
      </w:r>
      <w:r w:rsidRPr="00FD6510">
        <w:rPr>
          <w:rStyle w:val="FootnoteReference"/>
          <w:rFonts w:ascii="Arial" w:hAnsi="Arial" w:cs="Arial"/>
          <w:sz w:val="24"/>
          <w:szCs w:val="24"/>
        </w:rPr>
        <w:footnoteReference w:id="11"/>
      </w:r>
    </w:p>
    <w:p w14:paraId="27BA8FA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p>
    <w:p w14:paraId="3B261405"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p>
    <w:p w14:paraId="3EDAE48D"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0EF7ABB9" w14:textId="6E4F3A56"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w:t>
      </w:r>
      <w:r w:rsidRPr="00FD6510">
        <w:rPr>
          <w:rStyle w:val="FootnoteReference"/>
          <w:rFonts w:ascii="Arial" w:hAnsi="Arial" w:cs="Arial"/>
          <w:sz w:val="24"/>
          <w:szCs w:val="24"/>
        </w:rPr>
        <w:footnoteReference w:id="12"/>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775E9E8C"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r w:rsidR="001F36DA">
        <w:rPr>
          <w:rStyle w:val="FootnoteReference"/>
          <w:rFonts w:ascii="Arial" w:hAnsi="Arial" w:cs="Arial"/>
          <w:sz w:val="24"/>
          <w:szCs w:val="24"/>
        </w:rPr>
        <w:footnoteReference w:id="13"/>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693C743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[Committee/Secretary]</w:t>
      </w:r>
      <w:r w:rsidRPr="00FD6510">
        <w:rPr>
          <w:rStyle w:val="FootnoteReference"/>
          <w:rFonts w:ascii="Arial" w:hAnsi="Arial" w:cs="Arial"/>
          <w:sz w:val="24"/>
          <w:szCs w:val="24"/>
        </w:rPr>
        <w:footnoteReference w:id="14"/>
      </w:r>
      <w:r w:rsidRPr="00FD6510">
        <w:rPr>
          <w:rFonts w:ascii="Arial" w:hAnsi="Arial" w:cs="Arial"/>
          <w:sz w:val="24"/>
          <w:szCs w:val="24"/>
        </w:rPr>
        <w:t xml:space="preserve">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4B6F201B" w:rsidR="00362DF3" w:rsidRPr="00FD6510" w:rsidRDefault="00362DF3" w:rsidP="00362DF3">
      <w:pPr>
        <w:pStyle w:val="BWBLevel1"/>
        <w:rPr>
          <w:rFonts w:ascii="Arial" w:hAnsi="Arial" w:cs="Arial"/>
          <w:b/>
          <w:sz w:val="24"/>
          <w:szCs w:val="24"/>
        </w:rPr>
      </w:pPr>
      <w:r w:rsidRPr="00FD6510">
        <w:rPr>
          <w:rFonts w:ascii="Arial" w:hAnsi="Arial" w:cs="Arial"/>
          <w:b/>
          <w:sz w:val="24"/>
          <w:szCs w:val="24"/>
        </w:rPr>
        <w:lastRenderedPageBreak/>
        <w:t>All General Meetings</w:t>
      </w:r>
      <w:r w:rsidR="001F36DA">
        <w:rPr>
          <w:rStyle w:val="FootnoteReference"/>
          <w:rFonts w:ascii="Arial" w:hAnsi="Arial" w:cs="Arial"/>
          <w:b/>
          <w:sz w:val="24"/>
          <w:szCs w:val="24"/>
        </w:rPr>
        <w:footnoteReference w:id="15"/>
      </w:r>
      <w:r w:rsidRPr="00FD6510">
        <w:rPr>
          <w:rFonts w:ascii="Arial" w:hAnsi="Arial" w:cs="Arial"/>
          <w:b/>
          <w:sz w:val="24"/>
          <w:szCs w:val="24"/>
        </w:rPr>
        <w:t xml:space="preserve">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140E8374"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14:paraId="5279F65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 must be given at least [14] clear days [written] notice of all general meetings.</w:t>
      </w:r>
      <w:r w:rsidRPr="00FD6510">
        <w:rPr>
          <w:rStyle w:val="FootnoteReference"/>
          <w:rFonts w:ascii="Arial" w:hAnsi="Arial" w:cs="Arial"/>
          <w:sz w:val="24"/>
          <w:szCs w:val="24"/>
        </w:rPr>
        <w:footnoteReference w:id="16"/>
      </w:r>
    </w:p>
    <w:p w14:paraId="2BED2D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quorum for all general meetings is [</w:t>
      </w:r>
      <w:r w:rsidRPr="00FD6510">
        <w:rPr>
          <w:rFonts w:ascii="Arial" w:hAnsi="Arial" w:cs="Arial"/>
          <w:b/>
          <w:i/>
          <w:sz w:val="24"/>
          <w:szCs w:val="24"/>
        </w:rPr>
        <w:t>number</w:t>
      </w:r>
      <w:r w:rsidRPr="00FD6510">
        <w:rPr>
          <w:rFonts w:ascii="Arial" w:hAnsi="Arial" w:cs="Arial"/>
          <w:sz w:val="24"/>
          <w:szCs w:val="24"/>
        </w:rPr>
        <w:t>] members present or [</w:t>
      </w:r>
      <w:r w:rsidRPr="00FD6510">
        <w:rPr>
          <w:rFonts w:ascii="Arial" w:hAnsi="Arial" w:cs="Arial"/>
          <w:b/>
          <w:i/>
          <w:sz w:val="24"/>
          <w:szCs w:val="24"/>
        </w:rPr>
        <w:t>percentage</w:t>
      </w:r>
      <w:r w:rsidRPr="00FD6510">
        <w:rPr>
          <w:rFonts w:ascii="Arial" w:hAnsi="Arial" w:cs="Arial"/>
          <w:sz w:val="24"/>
          <w:szCs w:val="24"/>
        </w:rPr>
        <w:t>] of the total membership whichever is greater.</w:t>
      </w:r>
      <w:r w:rsidRPr="00FD6510">
        <w:rPr>
          <w:rStyle w:val="FootnoteReference"/>
          <w:rFonts w:ascii="Arial" w:hAnsi="Arial" w:cs="Arial"/>
          <w:sz w:val="24"/>
          <w:szCs w:val="24"/>
        </w:rPr>
        <w:footnoteReference w:id="17"/>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shall be decided by the Committee in Club Regulations and publicised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to serve until the next AGM [provided that no Committee member shall serve for more than five consecutive terms without spending one year out of office before being eligible for appointment again]</w:t>
      </w:r>
      <w:r w:rsidRPr="00FD6510">
        <w:rPr>
          <w:rStyle w:val="FootnoteReference"/>
          <w:rFonts w:ascii="Arial" w:hAnsi="Arial" w:cs="Arial"/>
          <w:sz w:val="24"/>
          <w:szCs w:val="24"/>
        </w:rPr>
        <w:footnoteReference w:id="18"/>
      </w:r>
      <w:r w:rsidRPr="00FD6510">
        <w:rPr>
          <w:rFonts w:ascii="Arial" w:hAnsi="Arial" w:cs="Arial"/>
          <w:sz w:val="24"/>
          <w:szCs w:val="24"/>
        </w:rPr>
        <w:t>;</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An EGM shall be called by the Secretary within 14 days of a request to that effect from the Committee or on the written request of not less than [</w:t>
      </w:r>
      <w:r w:rsidRPr="00FD6510">
        <w:rPr>
          <w:rFonts w:ascii="Arial" w:hAnsi="Arial" w:cs="Arial"/>
          <w:b/>
          <w:i/>
          <w:sz w:val="24"/>
          <w:szCs w:val="24"/>
        </w:rPr>
        <w:t>insert number</w:t>
      </w:r>
      <w:r w:rsidRPr="00FD6510">
        <w:rPr>
          <w:rFonts w:ascii="Arial" w:hAnsi="Arial" w:cs="Arial"/>
          <w:sz w:val="24"/>
          <w:szCs w:val="24"/>
        </w:rPr>
        <w:t>] members signed by them.  Such EGM shall be held on not less than 14 nor more than 21 days’ notice at a place decided upon by the Committee or in default by the Chair.  If the Committee fails to call a meeting within 14 days of receiving a valid request from the members then the requisitionists may themselves call a meeting, the costs of which will be reimbursed by the Club.</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r w:rsidRPr="00FD6510">
        <w:rPr>
          <w:rStyle w:val="FootnoteReference"/>
          <w:rFonts w:ascii="Arial" w:hAnsi="Arial" w:cs="Arial"/>
          <w:sz w:val="24"/>
          <w:szCs w:val="24"/>
          <w:u w:val="single"/>
        </w:rPr>
        <w:footnoteReference w:id="19"/>
      </w:r>
    </w:p>
    <w:p w14:paraId="0779236F"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r w:rsidRPr="00FD6510">
        <w:rPr>
          <w:rStyle w:val="FootnoteReference"/>
          <w:rFonts w:ascii="Arial" w:hAnsi="Arial" w:cs="Arial"/>
          <w:sz w:val="24"/>
          <w:szCs w:val="24"/>
        </w:rPr>
        <w:footnoteReference w:id="20"/>
      </w:r>
    </w:p>
    <w:p w14:paraId="4D5114BE" w14:textId="13439B4C"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nts and other ordinary benefits</w:t>
      </w:r>
      <w:r>
        <w:rPr>
          <w:rFonts w:ascii="Arial" w:hAnsi="Arial" w:cs="Arial"/>
          <w:sz w:val="24"/>
          <w:szCs w:val="24"/>
        </w:rPr>
        <w:t>[</w:t>
      </w:r>
      <w:r w:rsidR="003E0599">
        <w:rPr>
          <w:rFonts w:ascii="Arial" w:hAnsi="Arial" w:cs="Arial"/>
          <w:sz w:val="24"/>
          <w:szCs w:val="24"/>
        </w:rPr>
        <w:t xml:space="preserve">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r>
        <w:rPr>
          <w:rStyle w:val="FootnoteReference"/>
          <w:rFonts w:ascii="Arial" w:hAnsi="Arial" w:cs="Arial"/>
          <w:sz w:val="24"/>
          <w:szCs w:val="24"/>
        </w:rPr>
        <w:footnoteReference w:id="21"/>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61BDF02C"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DA625B">
        <w:rPr>
          <w:rStyle w:val="FootnoteReference"/>
          <w:rFonts w:ascii="Arial" w:hAnsi="Arial" w:cs="Arial"/>
          <w:sz w:val="24"/>
          <w:szCs w:val="24"/>
        </w:rPr>
        <w:footnoteReference w:id="22"/>
      </w:r>
      <w:r w:rsidRPr="00FD6510">
        <w:rPr>
          <w:rFonts w:ascii="Arial" w:hAnsi="Arial" w:cs="Arial"/>
          <w:sz w:val="24"/>
          <w:szCs w:val="24"/>
        </w:rPr>
        <w:t xml:space="preserve"> 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FE05B95"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r w:rsidR="003E6CD6">
        <w:rPr>
          <w:rStyle w:val="FootnoteReference"/>
          <w:rFonts w:ascii="Arial" w:hAnsi="Arial" w:cs="Arial"/>
          <w:sz w:val="24"/>
          <w:szCs w:val="24"/>
          <w:u w:val="single"/>
        </w:rPr>
        <w:footnoteReference w:id="23"/>
      </w:r>
    </w:p>
    <w:p w14:paraId="4D8CEFEB" w14:textId="1ED0E533" w:rsidR="00362DF3" w:rsidRDefault="00362DF3" w:rsidP="00362DF3">
      <w:pPr>
        <w:pStyle w:val="BWBLevel3"/>
        <w:rPr>
          <w:rFonts w:ascii="Arial" w:hAnsi="Arial" w:cs="Arial"/>
          <w:sz w:val="24"/>
          <w:szCs w:val="24"/>
        </w:rPr>
      </w:pPr>
      <w:r w:rsidRPr="00FD6510">
        <w:rPr>
          <w:rFonts w:ascii="Arial" w:hAnsi="Arial" w:cs="Arial"/>
          <w:sz w:val="24"/>
          <w:szCs w:val="24"/>
        </w:rPr>
        <w:t>The Committee shall consist of at least [three] and not more than [</w:t>
      </w:r>
      <w:r w:rsidRPr="00FD6510">
        <w:rPr>
          <w:rFonts w:ascii="Arial" w:hAnsi="Arial" w:cs="Arial"/>
          <w:b/>
          <w:i/>
          <w:sz w:val="24"/>
          <w:szCs w:val="24"/>
        </w:rPr>
        <w:t>insert number</w:t>
      </w:r>
      <w:r w:rsidRPr="00FD6510">
        <w:rPr>
          <w:rFonts w:ascii="Arial" w:hAnsi="Arial" w:cs="Arial"/>
          <w:sz w:val="24"/>
          <w:szCs w:val="24"/>
        </w:rPr>
        <w:t>] members (including Officers</w:t>
      </w:r>
      <w:r>
        <w:rPr>
          <w:rFonts w:ascii="Arial" w:hAnsi="Arial" w:cs="Arial"/>
          <w:sz w:val="24"/>
          <w:szCs w:val="24"/>
        </w:rPr>
        <w:t xml:space="preserve"> and the Club </w:t>
      </w:r>
      <w:r w:rsidR="005162E2">
        <w:rPr>
          <w:rFonts w:ascii="Arial" w:hAnsi="Arial" w:cs="Arial"/>
          <w:sz w:val="24"/>
          <w:szCs w:val="24"/>
        </w:rPr>
        <w:t>Safeguarding</w:t>
      </w:r>
      <w:r>
        <w:rPr>
          <w:rFonts w:ascii="Arial" w:hAnsi="Arial" w:cs="Arial"/>
          <w:sz w:val="24"/>
          <w:szCs w:val="24"/>
        </w:rPr>
        <w:t xml:space="preserve"> Officer</w:t>
      </w:r>
      <w:r w:rsidRPr="00FD6510">
        <w:rPr>
          <w:rFonts w:ascii="Arial" w:hAnsi="Arial" w:cs="Arial"/>
          <w:sz w:val="24"/>
          <w:szCs w:val="24"/>
        </w:rPr>
        <w:t>)</w:t>
      </w:r>
      <w:r>
        <w:rPr>
          <w:rStyle w:val="FootnoteReference"/>
          <w:rFonts w:ascii="Arial" w:hAnsi="Arial" w:cs="Arial"/>
          <w:sz w:val="24"/>
          <w:szCs w:val="24"/>
        </w:rPr>
        <w:footnoteReference w:id="24"/>
      </w:r>
      <w:r w:rsidRPr="00FD6510">
        <w:rPr>
          <w:rFonts w:ascii="Arial" w:hAnsi="Arial" w:cs="Arial"/>
          <w:sz w:val="24"/>
          <w:szCs w:val="24"/>
        </w:rPr>
        <w:t>.</w:t>
      </w:r>
      <w:r>
        <w:rPr>
          <w:rFonts w:ascii="Arial" w:hAnsi="Arial" w:cs="Arial"/>
          <w:sz w:val="24"/>
          <w:szCs w:val="24"/>
        </w:rPr>
        <w:t xml:space="preserve">  </w:t>
      </w:r>
    </w:p>
    <w:p w14:paraId="32DCF72B" w14:textId="77777777"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r>
        <w:rPr>
          <w:rStyle w:val="FootnoteReference"/>
          <w:rFonts w:ascii="Arial" w:hAnsi="Arial" w:cs="Arial"/>
          <w:sz w:val="24"/>
          <w:szCs w:val="24"/>
        </w:rPr>
        <w:footnoteReference w:id="25"/>
      </w:r>
    </w:p>
    <w:p w14:paraId="6202FC91" w14:textId="77777777"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27A03F9D" w14:textId="0EA66F44"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r>
        <w:rPr>
          <w:rStyle w:val="FootnoteReference"/>
          <w:rFonts w:ascii="Arial" w:hAnsi="Arial" w:cs="Arial"/>
          <w:sz w:val="24"/>
          <w:szCs w:val="24"/>
        </w:rPr>
        <w:footnoteReference w:id="26"/>
      </w:r>
    </w:p>
    <w:p w14:paraId="49B523F4" w14:textId="77777777"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r w:rsidRPr="00FD6510">
        <w:rPr>
          <w:rStyle w:val="FootnoteReference"/>
          <w:rFonts w:ascii="Arial" w:hAnsi="Arial" w:cs="Arial"/>
          <w:sz w:val="24"/>
          <w:szCs w:val="24"/>
        </w:rPr>
        <w:footnoteReference w:id="27"/>
      </w:r>
    </w:p>
    <w:p w14:paraId="4531312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w:t>
      </w:r>
      <w:r w:rsidRPr="00FD6510">
        <w:rPr>
          <w:rStyle w:val="FootnoteReference"/>
          <w:rFonts w:ascii="Arial" w:hAnsi="Arial" w:cs="Arial"/>
          <w:sz w:val="24"/>
          <w:szCs w:val="24"/>
        </w:rPr>
        <w:footnoteReference w:id="28"/>
      </w:r>
      <w:r w:rsidRPr="00FD6510">
        <w:rPr>
          <w:rFonts w:ascii="Arial" w:hAnsi="Arial" w:cs="Arial"/>
          <w:sz w:val="24"/>
          <w:szCs w:val="24"/>
        </w:rPr>
        <w:t xml:space="preserve">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lastRenderedPageBreak/>
        <w:t>Committee Meetings</w:t>
      </w:r>
    </w:p>
    <w:p w14:paraId="3DAB1D8A" w14:textId="77777777"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minuted.</w:t>
      </w:r>
      <w:r>
        <w:rPr>
          <w:rStyle w:val="FootnoteReference"/>
          <w:rFonts w:ascii="Arial" w:hAnsi="Arial" w:cs="Arial"/>
          <w:sz w:val="24"/>
          <w:szCs w:val="24"/>
        </w:rPr>
        <w:footnoteReference w:id="29"/>
      </w:r>
    </w:p>
    <w:p w14:paraId="68990E6C" w14:textId="07079DCE" w:rsidR="00362DF3" w:rsidRPr="00FD6510" w:rsidRDefault="00362DF3" w:rsidP="00362DF3">
      <w:pPr>
        <w:pStyle w:val="BWBLevel3"/>
        <w:rPr>
          <w:rFonts w:ascii="Arial" w:hAnsi="Arial" w:cs="Arial"/>
          <w:sz w:val="24"/>
          <w:szCs w:val="24"/>
        </w:rPr>
      </w:pPr>
      <w:r>
        <w:rPr>
          <w:rFonts w:ascii="Arial" w:hAnsi="Arial" w:cs="Arial"/>
          <w:sz w:val="24"/>
          <w:szCs w:val="24"/>
        </w:rPr>
        <w:t>The Committee shall meet at least four times each year.</w:t>
      </w:r>
      <w:r>
        <w:rPr>
          <w:rStyle w:val="FootnoteReference"/>
          <w:rFonts w:ascii="Arial" w:hAnsi="Arial" w:cs="Arial"/>
          <w:sz w:val="24"/>
          <w:szCs w:val="24"/>
        </w:rPr>
        <w:footnoteReference w:id="30"/>
      </w:r>
      <w:r>
        <w:rPr>
          <w:rFonts w:ascii="Arial" w:hAnsi="Arial" w:cs="Arial"/>
          <w:sz w:val="24"/>
          <w:szCs w:val="24"/>
        </w:rPr>
        <w:t xml:space="preserve"> </w:t>
      </w:r>
      <w:r w:rsidRPr="00FD6510">
        <w:rPr>
          <w:rFonts w:ascii="Arial" w:hAnsi="Arial" w:cs="Arial"/>
          <w:sz w:val="24"/>
          <w:szCs w:val="24"/>
        </w:rPr>
        <w:t>The Committee may decide its own way of operating.  Unless it otherwise resolves the following rules apply:</w:t>
      </w:r>
    </w:p>
    <w:p w14:paraId="52CB3686"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at least 2 Committee members must be present for the meeting to be valid;</w:t>
      </w:r>
    </w:p>
    <w:p w14:paraId="58F7A51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r w:rsidRPr="00FD6510">
        <w:rPr>
          <w:rStyle w:val="FootnoteReference"/>
          <w:rFonts w:ascii="Arial" w:hAnsi="Arial" w:cs="Arial"/>
          <w:sz w:val="24"/>
          <w:szCs w:val="24"/>
        </w:rPr>
        <w:footnoteReference w:id="31"/>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32E59B3C"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t>
      </w:r>
      <w:r w:rsidR="005162E2">
        <w:rPr>
          <w:rFonts w:ascii="Arial" w:hAnsi="Arial" w:cs="Arial"/>
          <w:sz w:val="24"/>
          <w:szCs w:val="24"/>
        </w:rPr>
        <w:t>Safeguarding</w:t>
      </w:r>
      <w:r w:rsidRPr="00FD6510">
        <w:rPr>
          <w:rFonts w:ascii="Arial" w:hAnsi="Arial" w:cs="Arial"/>
          <w:sz w:val="24"/>
          <w:szCs w:val="24"/>
        </w:rPr>
        <w:t xml:space="preserv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report to relevant Committee meetings and the reports, together with any action taken, must be minuted.</w:t>
      </w:r>
      <w:r>
        <w:rPr>
          <w:rStyle w:val="FootnoteReference"/>
          <w:rFonts w:ascii="Arial" w:hAnsi="Arial" w:cs="Arial"/>
          <w:sz w:val="24"/>
          <w:szCs w:val="24"/>
        </w:rPr>
        <w:footnoteReference w:id="32"/>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authorised by the Committee, including at least one Committee member.</w:t>
      </w:r>
      <w:r w:rsidRPr="00FD6510">
        <w:rPr>
          <w:rStyle w:val="FootnoteReference"/>
          <w:rFonts w:ascii="Arial" w:hAnsi="Arial" w:cs="Arial"/>
          <w:sz w:val="24"/>
          <w:szCs w:val="24"/>
        </w:rPr>
        <w:footnoteReference w:id="33"/>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lastRenderedPageBreak/>
        <w:t>Delegation, etc.</w:t>
      </w:r>
    </w:p>
    <w:p w14:paraId="1681E58E" w14:textId="22A3F8C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r w:rsidR="007A709A">
        <w:rPr>
          <w:rStyle w:val="FootnoteReference"/>
          <w:rFonts w:ascii="Arial" w:hAnsi="Arial" w:cs="Arial"/>
          <w:sz w:val="24"/>
          <w:szCs w:val="24"/>
        </w:rPr>
        <w:footnoteReference w:id="34"/>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14:paraId="2916746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Any complaints regarding the behaviour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5D7B5F4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6103809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meet to hear complaints within [21] 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14:paraId="5E69BBA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1950235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14:paraId="3267E917"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14:paraId="5765EB3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14:paraId="7BFCE72E" w14:textId="77777777"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w:t>
      </w:r>
      <w:r w:rsidRPr="00FD6510">
        <w:rPr>
          <w:rFonts w:ascii="Arial" w:hAnsi="Arial" w:cs="Arial"/>
          <w:sz w:val="24"/>
          <w:szCs w:val="24"/>
        </w:rPr>
        <w:lastRenderedPageBreak/>
        <w:t>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publicise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24 hours after being sent by electronic means or delivered by hand to the relevant address;</w:t>
      </w:r>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Two clear days after being sent by first class post;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two-thirds of the votes cast [but not (if relevant) so as to jeopardise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r w:rsidRPr="00FD6510">
        <w:rPr>
          <w:rStyle w:val="FootnoteReference"/>
          <w:rFonts w:ascii="Arial" w:hAnsi="Arial" w:cs="Arial"/>
          <w:sz w:val="24"/>
          <w:szCs w:val="24"/>
        </w:rPr>
        <w:footnoteReference w:id="35"/>
      </w:r>
    </w:p>
    <w:p w14:paraId="5FA98CC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Purposes may be changed to include another eligible sport if the Committee unanimously agree and the members also agreed the change by a 75% majority of votes cast.</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r w:rsidRPr="00FD6510">
        <w:rPr>
          <w:rFonts w:ascii="Arial" w:hAnsi="Arial" w:cs="Arial"/>
          <w:sz w:val="24"/>
          <w:szCs w:val="24"/>
        </w:rPr>
        <w:t>]</w:t>
      </w:r>
      <w:r w:rsidRPr="00FD6510">
        <w:rPr>
          <w:rStyle w:val="FootnoteReference"/>
          <w:rFonts w:ascii="Arial" w:hAnsi="Arial" w:cs="Arial"/>
          <w:sz w:val="24"/>
          <w:szCs w:val="24"/>
        </w:rPr>
        <w:footnoteReference w:id="36"/>
      </w:r>
    </w:p>
    <w:p w14:paraId="57A5CEA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0EF6717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to another organisation with similar objects to the Club.]</w:t>
      </w:r>
      <w:r w:rsidRPr="00FD6510">
        <w:rPr>
          <w:rStyle w:val="FootnoteReference"/>
          <w:rFonts w:ascii="Arial" w:hAnsi="Arial" w:cs="Arial"/>
          <w:sz w:val="24"/>
          <w:szCs w:val="24"/>
        </w:rPr>
        <w:footnoteReference w:id="37"/>
      </w:r>
    </w:p>
    <w:p w14:paraId="1F6B483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71BED82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r w:rsidRPr="00FD6510">
        <w:rPr>
          <w:rStyle w:val="FootnoteReference"/>
          <w:rFonts w:ascii="Arial" w:hAnsi="Arial" w:cs="Arial"/>
          <w:sz w:val="24"/>
          <w:szCs w:val="24"/>
        </w:rPr>
        <w:footnoteReference w:id="38"/>
      </w:r>
    </w:p>
    <w:p w14:paraId="4177060B"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lastRenderedPageBreak/>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B023" w14:textId="77777777" w:rsidR="002404DA" w:rsidRDefault="002404DA">
      <w:r>
        <w:separator/>
      </w:r>
    </w:p>
  </w:endnote>
  <w:endnote w:type="continuationSeparator" w:id="0">
    <w:p w14:paraId="12474DFE" w14:textId="77777777" w:rsidR="002404DA" w:rsidRDefault="002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C7BD" w14:textId="77777777" w:rsidR="002404DA" w:rsidRDefault="002404DA" w:rsidP="00874994">
      <w:pPr>
        <w:ind w:firstLine="0"/>
      </w:pPr>
      <w:r>
        <w:continuationSeparator/>
      </w:r>
    </w:p>
  </w:footnote>
  <w:footnote w:type="continuationSeparator" w:id="0">
    <w:p w14:paraId="17084067" w14:textId="77777777" w:rsidR="002404DA" w:rsidRDefault="002404DA">
      <w:r>
        <w:continuationSeparator/>
      </w:r>
    </w:p>
  </w:footnote>
  <w:footnote w:type="continuationNotice" w:id="1">
    <w:p w14:paraId="12806B13" w14:textId="77777777" w:rsidR="002404DA" w:rsidRDefault="002404DA"/>
  </w:footnote>
  <w:footnote w:id="2">
    <w:p w14:paraId="3342FCA7" w14:textId="62464C8D" w:rsidR="00362DF3" w:rsidRDefault="00362DF3" w:rsidP="00362DF3">
      <w:pPr>
        <w:pStyle w:val="FootnoteText"/>
      </w:pPr>
      <w:r>
        <w:rPr>
          <w:rStyle w:val="FootnoteReference"/>
        </w:rPr>
        <w:footnoteRef/>
      </w:r>
      <w:r>
        <w:t xml:space="preserve"> This constitution is a model and may need amending to suit your Club’s requirements.  It has optional wording for clubs wishing to register or already registered as a community amateur sports club with HMRC.  CASC status has very specific qualification requirement and the detailed guidance can be found here </w:t>
      </w:r>
      <w:hyperlink r:id="rId1" w:history="1">
        <w:r w:rsidRPr="00E871F4">
          <w:rPr>
            <w:rStyle w:val="Hyperlink"/>
          </w:rPr>
          <w:t>https://www.gov.uk/government/publications/community-amateur-sports-clubs-detailed-guidance-notes</w:t>
        </w:r>
      </w:hyperlink>
      <w:r w:rsidR="000B215B">
        <w:rPr>
          <w:rStyle w:val="Hyperlink"/>
        </w:rPr>
        <w:t>.</w:t>
      </w:r>
      <w:r>
        <w:t xml:space="preserve">  This constitution is not suitable for a Club wishing to register as a charity.</w:t>
      </w:r>
    </w:p>
  </w:footnote>
  <w:footnote w:id="3">
    <w:p w14:paraId="74A3043E" w14:textId="6A373056" w:rsidR="000A74AD" w:rsidRPr="000A74AD" w:rsidRDefault="000A74AD">
      <w:pPr>
        <w:pStyle w:val="FootnoteText"/>
        <w:rPr>
          <w:lang w:val="en-GB"/>
        </w:rPr>
      </w:pPr>
      <w:r>
        <w:rPr>
          <w:rStyle w:val="FootnoteReference"/>
        </w:rPr>
        <w:footnoteRef/>
      </w:r>
      <w:r>
        <w:t xml:space="preserve"> The word “amateur” must be included if you are registered or registering as a CASC.</w:t>
      </w:r>
    </w:p>
  </w:footnote>
  <w:footnote w:id="4">
    <w:p w14:paraId="1669479B" w14:textId="3C1F488E" w:rsidR="000A74AD" w:rsidRPr="000A74AD" w:rsidRDefault="000A74AD">
      <w:pPr>
        <w:pStyle w:val="FootnoteText"/>
        <w:rPr>
          <w:lang w:val="en-GB"/>
        </w:rPr>
      </w:pPr>
      <w:r>
        <w:rPr>
          <w:rStyle w:val="FootnoteReference"/>
        </w:rPr>
        <w:footnoteRef/>
      </w:r>
      <w:r>
        <w:t xml:space="preserve"> These objects follow the HMRC model CASC clauses and is compulsory for CASCs.  Any change to this clause could mean that the Club doesn’t qualify as a CASC.  It is good governance for </w:t>
      </w:r>
      <w:r w:rsidR="00CA342D">
        <w:t xml:space="preserve">all </w:t>
      </w:r>
      <w:r>
        <w:t>Clubs to include a provision about their purpose.</w:t>
      </w:r>
    </w:p>
  </w:footnote>
  <w:footnote w:id="5">
    <w:p w14:paraId="49A7A9E3" w14:textId="77777777" w:rsidR="00362DF3" w:rsidRDefault="00362DF3" w:rsidP="00362DF3">
      <w:pPr>
        <w:pStyle w:val="FootnoteText"/>
      </w:pPr>
      <w:r>
        <w:rPr>
          <w:rStyle w:val="FootnoteReference"/>
        </w:rPr>
        <w:footnoteRef/>
      </w:r>
      <w:r>
        <w:t xml:space="preserve"> This clause is compulsory for ECB </w:t>
      </w:r>
      <w:smartTag w:uri="urn:schemas-microsoft-com:office:smarttags" w:element="PersonName">
        <w:r>
          <w:t>Clubmark</w:t>
        </w:r>
      </w:smartTag>
      <w:r>
        <w:t>.</w:t>
      </w:r>
    </w:p>
  </w:footnote>
  <w:footnote w:id="6">
    <w:p w14:paraId="44FB71CA" w14:textId="7ED09EAF" w:rsidR="00D46EBA" w:rsidRPr="000A74AD" w:rsidRDefault="00D46EBA">
      <w:pPr>
        <w:pStyle w:val="FootnoteText"/>
        <w:rPr>
          <w:lang w:val="en-GB"/>
        </w:rPr>
      </w:pPr>
      <w:r>
        <w:rPr>
          <w:rStyle w:val="FootnoteReference"/>
        </w:rPr>
        <w:footnoteRef/>
      </w:r>
      <w:r>
        <w:t xml:space="preserve"> </w:t>
      </w:r>
      <w:r>
        <w:rPr>
          <w:lang w:val="en-GB"/>
        </w:rPr>
        <w:t>This clause is compulsory for ECB Clubmark.</w:t>
      </w:r>
    </w:p>
  </w:footnote>
  <w:footnote w:id="7">
    <w:p w14:paraId="04AC2D4F" w14:textId="52082412" w:rsidR="002229A5" w:rsidRPr="000A74AD" w:rsidRDefault="002229A5">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a list of powers that the Club </w:t>
      </w:r>
      <w:r w:rsidR="00D434E4">
        <w:rPr>
          <w:rFonts w:cstheme="minorHAnsi"/>
          <w:lang w:val="en-GB"/>
        </w:rPr>
        <w:t>can use</w:t>
      </w:r>
      <w:r w:rsidRPr="00891269">
        <w:rPr>
          <w:rFonts w:cstheme="minorHAnsi"/>
          <w:lang w:val="en-GB"/>
        </w:rPr>
        <w:t xml:space="preserve"> to impl</w:t>
      </w:r>
      <w:r w:rsidR="000B215B" w:rsidRPr="00891269">
        <w:rPr>
          <w:rFonts w:cstheme="minorHAnsi"/>
          <w:lang w:val="en-GB"/>
        </w:rPr>
        <w:t xml:space="preserve">ement its objects. </w:t>
      </w:r>
    </w:p>
  </w:footnote>
  <w:footnote w:id="8">
    <w:p w14:paraId="402D40C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The words in brackets are optional for clubs who wish the members to approve any sale or lease of the club’s land.  Details of the land will need to be inserted.</w:t>
      </w:r>
    </w:p>
  </w:footnote>
  <w:footnote w:id="9">
    <w:p w14:paraId="231A1D68" w14:textId="37E0B8F6" w:rsidR="00362DF3" w:rsidRPr="00FD6510" w:rsidRDefault="00362DF3" w:rsidP="00362DF3">
      <w:pPr>
        <w:pStyle w:val="FootnoteText"/>
        <w:tabs>
          <w:tab w:val="left" w:pos="202"/>
        </w:tabs>
        <w:ind w:left="202" w:hanging="202"/>
        <w:rPr>
          <w:rFonts w:ascii="Arial" w:hAnsi="Arial" w:cs="Arial"/>
        </w:rPr>
      </w:pPr>
      <w:r w:rsidRPr="00891269">
        <w:rPr>
          <w:rStyle w:val="FootnoteReference"/>
          <w:rFonts w:cstheme="minorHAnsi"/>
        </w:rPr>
        <w:footnoteRef/>
      </w:r>
      <w:r w:rsidRPr="00891269">
        <w:rPr>
          <w:rFonts w:cstheme="minorHAnsi"/>
        </w:rPr>
        <w:tab/>
        <w:t>This is compulsory for CASCs</w:t>
      </w:r>
      <w:r w:rsidR="00F173FD">
        <w:rPr>
          <w:rFonts w:cstheme="minorHAnsi"/>
        </w:rPr>
        <w:t>.  For</w:t>
      </w:r>
      <w:r w:rsidR="00C052C7" w:rsidRPr="00891269">
        <w:rPr>
          <w:rFonts w:cstheme="minorHAnsi"/>
        </w:rPr>
        <w:t xml:space="preserve"> ECB Clubmark</w:t>
      </w:r>
      <w:r w:rsidR="005D3A20">
        <w:rPr>
          <w:rFonts w:cstheme="minorHAnsi"/>
        </w:rPr>
        <w:t xml:space="preserve"> it</w:t>
      </w:r>
      <w:r w:rsidR="00C052C7" w:rsidRPr="00891269">
        <w:rPr>
          <w:rFonts w:cstheme="minorHAnsi"/>
        </w:rPr>
        <w:t xml:space="preserve"> is suggested wording</w:t>
      </w:r>
      <w:r w:rsidRPr="00891269">
        <w:rPr>
          <w:rFonts w:cstheme="minorHAnsi"/>
        </w:rPr>
        <w:t>.</w:t>
      </w:r>
      <w:r w:rsidR="00C052C7" w:rsidRPr="00891269">
        <w:rPr>
          <w:rFonts w:cstheme="minorHAnsi"/>
        </w:rPr>
        <w:t xml:space="preserve">  </w:t>
      </w:r>
      <w:r w:rsidR="00832A51">
        <w:rPr>
          <w:rFonts w:cstheme="minorHAnsi"/>
        </w:rPr>
        <w:t>For a non-CASC, t</w:t>
      </w:r>
      <w:r w:rsidR="00C052C7" w:rsidRPr="00891269">
        <w:rPr>
          <w:rFonts w:cstheme="minorHAnsi"/>
        </w:rPr>
        <w:t>he requirement might be satisfied by the absence of any provisions that contradict this</w:t>
      </w:r>
      <w:r w:rsidR="00C12A3A" w:rsidRPr="00891269">
        <w:rPr>
          <w:rFonts w:cstheme="minorHAnsi"/>
        </w:rPr>
        <w:t xml:space="preserve"> (such as provisions regarding seconding or blackballing, which are not permitted)</w:t>
      </w:r>
      <w:r w:rsidR="00C052C7" w:rsidRPr="00891269">
        <w:rPr>
          <w:rFonts w:cstheme="minorHAnsi"/>
        </w:rPr>
        <w:t xml:space="preserve">. </w:t>
      </w:r>
    </w:p>
  </w:footnote>
  <w:footnote w:id="10">
    <w:p w14:paraId="3BE6EAD6" w14:textId="2512F35A"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r>
      <w:r w:rsidR="00C12A3A" w:rsidRPr="00891269">
        <w:rPr>
          <w:rFonts w:cstheme="minorHAnsi"/>
        </w:rPr>
        <w:t xml:space="preserve">Having non-discriminatory pricing </w:t>
      </w:r>
      <w:r w:rsidR="002622BD">
        <w:rPr>
          <w:rFonts w:cstheme="minorHAnsi"/>
        </w:rPr>
        <w:t xml:space="preserve">is compulsory for CASCs.  For </w:t>
      </w:r>
      <w:r w:rsidRPr="00891269">
        <w:rPr>
          <w:rFonts w:cstheme="minorHAnsi"/>
        </w:rPr>
        <w:t>ECB Clubmark</w:t>
      </w:r>
      <w:r w:rsidR="002622BD">
        <w:rPr>
          <w:rFonts w:cstheme="minorHAnsi"/>
        </w:rPr>
        <w:t>, it</w:t>
      </w:r>
      <w:r w:rsidR="00C12A3A" w:rsidRPr="00891269">
        <w:rPr>
          <w:rFonts w:cstheme="minorHAnsi"/>
        </w:rPr>
        <w:t xml:space="preserve"> is suggested wording.</w:t>
      </w:r>
    </w:p>
  </w:footnote>
  <w:footnote w:id="11">
    <w:p w14:paraId="24CBD53B"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Classes of membership can be changed as appropriate for your Club but bear in mind the comments in the online HMRC CASC guidance see footnote 1.</w:t>
      </w:r>
    </w:p>
  </w:footnote>
  <w:footnote w:id="12">
    <w:p w14:paraId="3AC008D5"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Words in squared brackets are required for clubs wishing to hold a Club Premises Certificate under the Licensing Act 2003</w:t>
      </w:r>
    </w:p>
  </w:footnote>
  <w:footnote w:id="13">
    <w:p w14:paraId="03F54C03" w14:textId="3F3897F0" w:rsidR="001F36DA" w:rsidRPr="000A74AD" w:rsidRDefault="001F36DA">
      <w:pPr>
        <w:pStyle w:val="FootnoteText"/>
        <w:rPr>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why, when and how a member can be refused entry or removed from the Club.  This is suggested wording.</w:t>
      </w:r>
    </w:p>
  </w:footnote>
  <w:footnote w:id="14">
    <w:p w14:paraId="741FA965"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Choose who will be responsible for keeping the register of members.</w:t>
      </w:r>
    </w:p>
  </w:footnote>
  <w:footnote w:id="15">
    <w:p w14:paraId="012F977C" w14:textId="76EB3148" w:rsidR="001F36DA" w:rsidRPr="000A74AD" w:rsidRDefault="001F36D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This is suggested wording.  The constitution should include provisions about members’ meetings, how they are called, the quorum and voting procedures.  Please note that any Clubs which are companies will need to amend this in line with company law – it might be easiest simply to state that the provisions of the Companies Act 2006 apply to members’ meetings.</w:t>
      </w:r>
    </w:p>
  </w:footnote>
  <w:footnote w:id="16">
    <w:p w14:paraId="4256CD7E"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Notice periods and the method of giving notice can be changed but must be reasonable.</w:t>
      </w:r>
    </w:p>
  </w:footnote>
  <w:footnote w:id="17">
    <w:p w14:paraId="1716434D" w14:textId="79299612"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Take care to ensure the quorum is set at a realistic level</w:t>
      </w:r>
      <w:r w:rsidR="001F36DA" w:rsidRPr="00891269">
        <w:rPr>
          <w:rFonts w:cstheme="minorHAnsi"/>
        </w:rPr>
        <w:t xml:space="preserve">.  </w:t>
      </w:r>
    </w:p>
  </w:footnote>
  <w:footnote w:id="18">
    <w:p w14:paraId="4C20A35C"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A maximum 5 year term is advisable but not compulsory.</w:t>
      </w:r>
    </w:p>
  </w:footnote>
  <w:footnote w:id="19">
    <w:p w14:paraId="1B27D7B7" w14:textId="366D5844"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 xml:space="preserve"> </w:t>
      </w:r>
      <w:r w:rsidRPr="00891269">
        <w:rPr>
          <w:rFonts w:cstheme="minorHAnsi"/>
        </w:rPr>
        <w:tab/>
        <w:t>The whole of c</w:t>
      </w:r>
      <w:r w:rsidR="003E0599">
        <w:rPr>
          <w:rFonts w:cstheme="minorHAnsi"/>
        </w:rPr>
        <w:t>lause 9.2 is CASC compliant and</w:t>
      </w:r>
      <w:r w:rsidRPr="00891269">
        <w:rPr>
          <w:rFonts w:cstheme="minorHAnsi"/>
        </w:rPr>
        <w:t xml:space="preserve"> should not be changed if the Club is a CASC (having chosen the CASC optional wording).</w:t>
      </w:r>
    </w:p>
  </w:footnote>
  <w:footnote w:id="20">
    <w:p w14:paraId="628B5268"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Words in squared brackets must be included if the Club is or wishes to be a CASC.  They should be deleted for non-CASCs that have a dissolution clause allowing assets to be transferred to members.</w:t>
      </w:r>
    </w:p>
  </w:footnote>
  <w:footnote w:id="21">
    <w:p w14:paraId="15E55233"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Words in squared brackets are compulsory for CASC.</w:t>
      </w:r>
    </w:p>
  </w:footnote>
  <w:footnote w:id="22">
    <w:p w14:paraId="6649B9B3" w14:textId="5AD34931" w:rsidR="00DA625B" w:rsidRPr="00DA625B" w:rsidRDefault="00DA625B">
      <w:pPr>
        <w:pStyle w:val="FootnoteText"/>
        <w:rPr>
          <w:lang w:val="en-GB"/>
        </w:rPr>
      </w:pPr>
      <w:r>
        <w:rPr>
          <w:rStyle w:val="FootnoteReference"/>
        </w:rPr>
        <w:footnoteRef/>
      </w:r>
      <w:r>
        <w:t xml:space="preserve"> </w:t>
      </w:r>
      <w:r>
        <w:rPr>
          <w:lang w:val="en-GB"/>
        </w:rPr>
        <w:t>This constitution allow</w:t>
      </w:r>
      <w:r w:rsidR="009B3CD9">
        <w:rPr>
          <w:lang w:val="en-GB"/>
        </w:rPr>
        <w:t>s</w:t>
      </w:r>
      <w:r>
        <w:rPr>
          <w:lang w:val="en-GB"/>
        </w:rPr>
        <w:t xml:space="preserve"> for payment of players.  This can be amended for Clubs that</w:t>
      </w:r>
      <w:r w:rsidR="009B3CD9">
        <w:rPr>
          <w:lang w:val="en-GB"/>
        </w:rPr>
        <w:t xml:space="preserve"> do not wish to pay their players.  I</w:t>
      </w:r>
      <w:r>
        <w:rPr>
          <w:lang w:val="en-GB"/>
        </w:rPr>
        <w:t>f the Club is a CASC the p</w:t>
      </w:r>
      <w:r w:rsidR="00845B6E">
        <w:rPr>
          <w:lang w:val="en-GB"/>
        </w:rPr>
        <w:t>layers must not be paid more tha</w:t>
      </w:r>
      <w:r>
        <w:rPr>
          <w:lang w:val="en-GB"/>
        </w:rPr>
        <w:t>n £10,000 collectively in any one year</w:t>
      </w:r>
      <w:r w:rsidR="004065AC">
        <w:rPr>
          <w:lang w:val="en-GB"/>
        </w:rPr>
        <w:t xml:space="preserve"> (this includes the value of </w:t>
      </w:r>
      <w:r w:rsidR="004065AC">
        <w:rPr>
          <w:i/>
          <w:lang w:val="en-GB"/>
        </w:rPr>
        <w:t>all</w:t>
      </w:r>
      <w:r w:rsidR="004065AC">
        <w:rPr>
          <w:lang w:val="en-GB"/>
        </w:rPr>
        <w:t xml:space="preserve"> benefits to players)</w:t>
      </w:r>
      <w:r>
        <w:rPr>
          <w:lang w:val="en-GB"/>
        </w:rPr>
        <w:t xml:space="preserve">.  </w:t>
      </w:r>
      <w:r w:rsidR="00845B6E">
        <w:rPr>
          <w:lang w:val="en-GB"/>
        </w:rPr>
        <w:t xml:space="preserve">More detailed guidance for CASCs can be found </w:t>
      </w:r>
      <w:hyperlink r:id="rId2" w:history="1">
        <w:r w:rsidR="00845B6E" w:rsidRPr="00845B6E">
          <w:rPr>
            <w:rStyle w:val="Hyperlink"/>
            <w:lang w:val="en-GB"/>
          </w:rPr>
          <w:t>here</w:t>
        </w:r>
      </w:hyperlink>
      <w:r w:rsidR="00845B6E">
        <w:rPr>
          <w:lang w:val="en-GB"/>
        </w:rPr>
        <w:t xml:space="preserve"> at paragraph 2.15.</w:t>
      </w:r>
    </w:p>
  </w:footnote>
  <w:footnote w:id="23">
    <w:p w14:paraId="7D261C4C" w14:textId="69FD9409" w:rsidR="003E6CD6" w:rsidRPr="000A74AD" w:rsidRDefault="003E6CD6">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It is good governance to set out how Committee members are appointed and removed.  You should also consider whether there should be provisions regarding terms in office and whether or not to set a maximum term in office (Sport England recommends a maximum of nine years).</w:t>
      </w:r>
    </w:p>
  </w:footnote>
  <w:footnote w:id="24">
    <w:p w14:paraId="198F300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ECB Clubmark requires that the club welfare officer is on the committee. </w:t>
      </w:r>
    </w:p>
  </w:footnote>
  <w:footnote w:id="25">
    <w:p w14:paraId="2531D9DA" w14:textId="0A132FFC"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xml:space="preserve">  It is best practice to include this in the constitution, but Clubmark only requires that it is satisfied in practice.</w:t>
      </w:r>
    </w:p>
  </w:footnote>
  <w:footnote w:id="26">
    <w:p w14:paraId="047F5638" w14:textId="75630263"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It is best practice to include this in the constitution, but Clubmark only requires that it is satisfied in practice.</w:t>
      </w:r>
    </w:p>
  </w:footnote>
  <w:footnote w:id="27">
    <w:p w14:paraId="241B438A" w14:textId="77777777"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If the club wishes to have a Club Premises License under the Licensing Act 2003 then co-option is not allowed and vacancies must be filled by a resolution of the members, unless a separate licensing committee voted for by the members is established.</w:t>
      </w:r>
    </w:p>
  </w:footnote>
  <w:footnote w:id="28">
    <w:p w14:paraId="44FACA8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Insert if co-option is allowed where the Club does not wish to have a Club Premise License (see footnote 21.)</w:t>
      </w:r>
    </w:p>
  </w:footnote>
  <w:footnote w:id="29">
    <w:p w14:paraId="64380B6F" w14:textId="7DA6E762"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for ECB Clubmark</w:t>
      </w:r>
      <w:r w:rsidR="00265EB1" w:rsidRPr="00891269">
        <w:rPr>
          <w:rFonts w:cstheme="minorHAnsi"/>
        </w:rPr>
        <w:t>. It is best practice to include this in the constitution, but Clubmark only requires that it is satisfied in practice.</w:t>
      </w:r>
    </w:p>
  </w:footnote>
  <w:footnote w:id="30">
    <w:p w14:paraId="551B873A" w14:textId="1E960E14"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of ECB Clubmark.</w:t>
      </w:r>
      <w:r w:rsidR="00265EB1" w:rsidRPr="00891269">
        <w:rPr>
          <w:rFonts w:cstheme="minorHAnsi"/>
        </w:rPr>
        <w:t xml:space="preserve">  It is best practice to include this in the constitution, but Clubmark only requires that it is satisfied in practice.</w:t>
      </w:r>
    </w:p>
  </w:footnote>
  <w:footnote w:id="31">
    <w:p w14:paraId="1C1F971C" w14:textId="77777777" w:rsidR="00362DF3" w:rsidRPr="00265EB1" w:rsidRDefault="00362DF3" w:rsidP="00362DF3">
      <w:pPr>
        <w:pStyle w:val="FootnoteText"/>
      </w:pPr>
      <w:r w:rsidRPr="00891269">
        <w:rPr>
          <w:rStyle w:val="FootnoteReference"/>
          <w:rFonts w:cstheme="minorHAnsi"/>
        </w:rPr>
        <w:footnoteRef/>
      </w:r>
      <w:r w:rsidRPr="00891269">
        <w:rPr>
          <w:rFonts w:cstheme="minorHAnsi"/>
        </w:rPr>
        <w:t xml:space="preserve"> This clause may be amended to state that meetings can only be held ‘face to face’ if preferred.</w:t>
      </w:r>
    </w:p>
  </w:footnote>
  <w:footnote w:id="32">
    <w:p w14:paraId="02F4DB40" w14:textId="61BAAA72"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clause</w:t>
      </w:r>
      <w:r w:rsidR="00265EB1" w:rsidRPr="00891269">
        <w:rPr>
          <w:rFonts w:cstheme="minorHAnsi"/>
        </w:rPr>
        <w:t>, or similar language,</w:t>
      </w:r>
      <w:r w:rsidRPr="00891269">
        <w:rPr>
          <w:rFonts w:cstheme="minorHAnsi"/>
        </w:rPr>
        <w:t xml:space="preserve"> is compulsory for ECB Clubmark.</w:t>
      </w:r>
    </w:p>
  </w:footnote>
  <w:footnote w:id="33">
    <w:p w14:paraId="068BE412" w14:textId="18091339"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If the Club’s procedures for bank accounts are different this clause should be amended.</w:t>
      </w:r>
      <w:r w:rsidR="009F7DA5" w:rsidRPr="00891269">
        <w:rPr>
          <w:rFonts w:cstheme="minorHAnsi"/>
        </w:rPr>
        <w:t xml:space="preserve">  However, the requirement that cheques must be authorized by two people, including one Committee member, is compulsory for Clubmark (either in the constitution or in practice).</w:t>
      </w:r>
    </w:p>
  </w:footnote>
  <w:footnote w:id="34">
    <w:p w14:paraId="078B79CF" w14:textId="2571D71F" w:rsidR="007A709A" w:rsidRPr="000A74AD" w:rsidRDefault="007A709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provisions regarding delegation if the Committee will delegate to staff or sub-committees. </w:t>
      </w:r>
    </w:p>
  </w:footnote>
  <w:footnote w:id="35">
    <w:p w14:paraId="3F1BFDD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Include words in square brackets for CASCs.  </w:t>
      </w:r>
    </w:p>
  </w:footnote>
  <w:footnote w:id="36">
    <w:p w14:paraId="2FE52480"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Compulsory wording for a CASC.</w:t>
      </w:r>
    </w:p>
  </w:footnote>
  <w:footnote w:id="37">
    <w:p w14:paraId="04B619B8"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w:t>
      </w:r>
    </w:p>
  </w:footnote>
  <w:footnote w:id="38">
    <w:p w14:paraId="59056BCD"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w:t>
      </w:r>
      <w:smartTag w:uri="urn:schemas-microsoft-com:office:smarttags" w:element="PersonName">
        <w:r w:rsidRPr="00891269">
          <w:rPr>
            <w:rFonts w:cstheme="minorHAnsi"/>
          </w:rPr>
          <w:t>Clubmark</w:t>
        </w:r>
      </w:smartTag>
      <w:r w:rsidRPr="00891269">
        <w:rPr>
          <w:rFonts w:cstheme="minorHAnsi"/>
        </w:rPr>
        <w:t xml:space="preserve"> that whatever the winding-up procedure is must be clearly described in the club’s constitution.  Note this wording should be appropriate for a club wishing to use the mutual trading tax exemption (check with your accountant or treasurer if this is relevant and this wording is appropriate for the circumstances of the club).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27F" w14:textId="77777777" w:rsidR="00040436" w:rsidRDefault="002404DA"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257" w14:textId="77777777" w:rsidR="00040436" w:rsidRDefault="002404DA"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E6F81"/>
    <w:rsid w:val="000F1B21"/>
    <w:rsid w:val="000F1B70"/>
    <w:rsid w:val="00100BF4"/>
    <w:rsid w:val="00105DD9"/>
    <w:rsid w:val="001131EA"/>
    <w:rsid w:val="00116B06"/>
    <w:rsid w:val="0012389E"/>
    <w:rsid w:val="001240E7"/>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2FD2"/>
    <w:rsid w:val="00204043"/>
    <w:rsid w:val="002121DD"/>
    <w:rsid w:val="00213AA7"/>
    <w:rsid w:val="00216242"/>
    <w:rsid w:val="002229A5"/>
    <w:rsid w:val="0022677F"/>
    <w:rsid w:val="00232066"/>
    <w:rsid w:val="002368B3"/>
    <w:rsid w:val="002404DA"/>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2DF3"/>
    <w:rsid w:val="0036699F"/>
    <w:rsid w:val="003748D1"/>
    <w:rsid w:val="00383187"/>
    <w:rsid w:val="003952E7"/>
    <w:rsid w:val="00395931"/>
    <w:rsid w:val="003A531C"/>
    <w:rsid w:val="003B2248"/>
    <w:rsid w:val="003C4534"/>
    <w:rsid w:val="003C5B1B"/>
    <w:rsid w:val="003C7B62"/>
    <w:rsid w:val="003D2BF4"/>
    <w:rsid w:val="003E0599"/>
    <w:rsid w:val="003E2ACD"/>
    <w:rsid w:val="003E6CD6"/>
    <w:rsid w:val="00400A00"/>
    <w:rsid w:val="004065AC"/>
    <w:rsid w:val="0041094F"/>
    <w:rsid w:val="00421BF3"/>
    <w:rsid w:val="00426F98"/>
    <w:rsid w:val="00442FBB"/>
    <w:rsid w:val="00443D2E"/>
    <w:rsid w:val="00453B46"/>
    <w:rsid w:val="00461C26"/>
    <w:rsid w:val="00472E7B"/>
    <w:rsid w:val="004800CF"/>
    <w:rsid w:val="0049530D"/>
    <w:rsid w:val="00497193"/>
    <w:rsid w:val="004B6C86"/>
    <w:rsid w:val="004C0EF8"/>
    <w:rsid w:val="004C6B2B"/>
    <w:rsid w:val="004E24C8"/>
    <w:rsid w:val="004F0BBD"/>
    <w:rsid w:val="00511A05"/>
    <w:rsid w:val="00515542"/>
    <w:rsid w:val="005162E2"/>
    <w:rsid w:val="00531935"/>
    <w:rsid w:val="00542FB0"/>
    <w:rsid w:val="00552C9E"/>
    <w:rsid w:val="00554428"/>
    <w:rsid w:val="005975BE"/>
    <w:rsid w:val="005A215B"/>
    <w:rsid w:val="005A5CA4"/>
    <w:rsid w:val="005B0990"/>
    <w:rsid w:val="005D3A20"/>
    <w:rsid w:val="005D6044"/>
    <w:rsid w:val="005E71DE"/>
    <w:rsid w:val="00611EEA"/>
    <w:rsid w:val="006216CB"/>
    <w:rsid w:val="00624E18"/>
    <w:rsid w:val="006337F2"/>
    <w:rsid w:val="006430FE"/>
    <w:rsid w:val="00643B00"/>
    <w:rsid w:val="006602C4"/>
    <w:rsid w:val="0066077F"/>
    <w:rsid w:val="0066588F"/>
    <w:rsid w:val="00675963"/>
    <w:rsid w:val="00686B75"/>
    <w:rsid w:val="006A371C"/>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A5BE2"/>
    <w:rsid w:val="008C0737"/>
    <w:rsid w:val="008D2B79"/>
    <w:rsid w:val="008F097F"/>
    <w:rsid w:val="008F2E19"/>
    <w:rsid w:val="008F33E5"/>
    <w:rsid w:val="008F3ABA"/>
    <w:rsid w:val="009156E2"/>
    <w:rsid w:val="00925C8D"/>
    <w:rsid w:val="0094622E"/>
    <w:rsid w:val="00961576"/>
    <w:rsid w:val="00972932"/>
    <w:rsid w:val="00976FF8"/>
    <w:rsid w:val="00984830"/>
    <w:rsid w:val="00994847"/>
    <w:rsid w:val="00994ADA"/>
    <w:rsid w:val="009B3CD9"/>
    <w:rsid w:val="009B6F59"/>
    <w:rsid w:val="009D2240"/>
    <w:rsid w:val="009D6F25"/>
    <w:rsid w:val="009F0977"/>
    <w:rsid w:val="009F56EB"/>
    <w:rsid w:val="009F7DA5"/>
    <w:rsid w:val="00A1696B"/>
    <w:rsid w:val="00A23C02"/>
    <w:rsid w:val="00A26EF8"/>
    <w:rsid w:val="00A272CD"/>
    <w:rsid w:val="00A32A7C"/>
    <w:rsid w:val="00A44637"/>
    <w:rsid w:val="00A86D8B"/>
    <w:rsid w:val="00A927EA"/>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684"/>
    <w:rsid w:val="00CA0F82"/>
    <w:rsid w:val="00CA342D"/>
    <w:rsid w:val="00CB4BA6"/>
    <w:rsid w:val="00CC6049"/>
    <w:rsid w:val="00CF6223"/>
    <w:rsid w:val="00D30C54"/>
    <w:rsid w:val="00D32046"/>
    <w:rsid w:val="00D434E4"/>
    <w:rsid w:val="00D4458D"/>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6679"/>
    <w:rsid w:val="00EE64C2"/>
    <w:rsid w:val="00F03E78"/>
    <w:rsid w:val="00F173FD"/>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3D990FA"/>
  <w15:docId w15:val="{2B4637FF-E747-4D01-8D9D-C5E9C5A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mmunity-amateur-sports-clubs-detailed-guidance-notes/community-amateur-sports-clubs-detailed-guidance-notes" TargetMode="External"/><Relationship Id="rId1" Type="http://schemas.openxmlformats.org/officeDocument/2006/relationships/hyperlink" Target="https://www.gov.uk/government/publications/community-amateur-sports-clubs-detailed-guidance-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79BC-044C-499B-BA90-7738A9B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Richard Dixon</cp:lastModifiedBy>
  <cp:revision>6</cp:revision>
  <cp:lastPrinted>2017-10-18T15:39:00Z</cp:lastPrinted>
  <dcterms:created xsi:type="dcterms:W3CDTF">2019-04-15T14:09:00Z</dcterms:created>
  <dcterms:modified xsi:type="dcterms:W3CDTF">2022-03-30T13:01:00Z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